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47 vom 12. Oktober 2021</w:t>
      </w:r>
    </w:p>
    <w:p>
      <w:r>
        <w:t>VS Kantonsgericht, 2021-10-12, DE</w:t>
      </w:r>
    </w:p>
    <w:p>
      <w:r>
        <w:rPr>
          <w:b/>
        </w:rPr>
        <w:t xml:space="preserve">Quelle: </w:t>
      </w:r>
      <w:r>
        <w:t>https://mcp.opencaselaw.ch/entscheid/vs_gerichte_S1 21 47</w:t>
      </w:r>
    </w:p>
    <w:p>
      <w:r>
        <w:t>FR: VS_GERICHTE S1 21 47 du 12 octobre 2021</w:t>
      </w:r>
    </w:p>
    <w:p>
      <w:r>
        <w:t>IT: VS_GERICHTE S1 21 47 del 12 ottobre 2021</w:t>
      </w:r>
    </w:p>
    <w:p>
      <w:pPr>
        <w:pStyle w:val="Heading2"/>
      </w:pPr>
      <w:r>
        <w:t>Regeste</w:t>
      </w:r>
    </w:p>
    <w:p>
      <w:r>
        <w:t>S1 21 47 URTEIL VOM 12. OKTOBER 2021 Kantonsgericht Wallis Sozialversicherungsrechtliche Abteilung Besetzung: Dr. Thierry Schnyder, Präsident; Candido Prada und Thomas Brunner, Kantonsrichter; Renata Kreuzer, Gerichtsschreiberin in Sachen X _________, Beschwerdeführerin, vertreten durch Rechtsanwältin Raffaella Biaggi, gegen KANTONALE IV-STELLE, 1950 Sitten, Beschwerdegegnerin (Restarbeitsfähigkeit / Invaliditätsgrad) Beschwerde gegen die Verfügung vom 22. Januar 2021</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w:t>
      </w:r>
    </w:p>
    <w:p>
      <w:r>
        <w:t>- 8 -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somit die Frage, ob die Invalidenversicherung den Gesund- heitszustand der Beschwerdeführerin genügend abgeklärt und gestützt darauf die Rest- arbeitsfähigkeit richtig festgesetzt und den Invaliditätsgrad unter Zugrundelegung der korrekten Vergleichseinkommen und eines angemessenen Leidensabzuges berechnet hat.</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des Bundesgesetztes über die Invalidenversicherung vom 19. Juni 1959 [IVG]). Seit dem 1. Januar 2004 besteht bei einem Invaliditätsgrad von mindestens 40 % ein Anspruch auf eine Viertelsrente, bei einem solchen von mindestens 50 % ein Anspruch auf eine halbe Rente, bei mindestens 60 % ein Anspruch auf eine Dreiviertelsrente und bei mindestens 70 % ein solcher auf eine ganze Rente (Art. 28 IVG).</w:t>
      </w:r>
    </w:p>
    <w:p>
      <w:r>
        <w:t>- 9 -</w:t>
      </w:r>
    </w:p>
    <w:p>
      <w:r>
        <w:rPr>
          <w:b/>
        </w:rPr>
        <w:t>E. 3.2</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125 V 261 E. 4; 115 V 134 E. 2).</w:t>
      </w:r>
    </w:p>
    <w:p>
      <w:r>
        <w:rPr>
          <w:b/>
        </w:rPr>
        <w:t>E. 3.3</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w:t>
      </w:r>
    </w:p>
    <w:p>
      <w:r>
        <w:t>- 10 -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135 V 465 E. 4.4; Bundesgerichtsurteil 9C_495/2012 vom 4. Oktober 2012 E. 2.3).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diese Fachpersonen sich in erster Linie auf die Behandlung zu konzentrieren haben, verfolgen ihre Berichte nicht den Zweck einer den abschliessenden Entscheid über die Versicherungsansprü- 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 geringe Zweifel an der Zuverlässigkeit und Schlüssigkeit der Feststellungen versiche- rungsinterner Ärztinnen und Ärzte wecken. Es würde einen Verstoss gegen die Waffen- gleichheit und somit eine Verletzung von Art. 6 Ziff. 1 der Europäischen Menschenrechts- konvention (EMRK) bedeuten, die Eignung der Berichte der behandelnden Ärztinnen und Ärzte zur Weckung derartiger Zweifel von letztlich unerfüllbaren Anforderungen ab- hängig zu machen. Damit die versicherte Person eine vernünftige Chance hat, ihre Sa- che dem Gericht zu unterbreiten, ohne gegenüber dem Versicherungsträger klar be- nachteiligt zu sein, darf bei Bestand solcher Zweifel nicht aufgrund der von der versi- cherten Person aufgelegten Berichte einerseits und der versicherungsinternen medizini- schen Berichte andererseits eine abschliessende Beweiswürdigung vorgenommen wer- den (BGE 135 V 465 E. 4.5 und 4.6).</w:t>
      </w:r>
    </w:p>
    <w:p>
      <w:r>
        <w:t>- 11 -</w:t>
      </w:r>
    </w:p>
    <w:p>
      <w:r>
        <w:rPr>
          <w:b/>
        </w:rPr>
        <w:t>E. 4.1</w:t>
      </w:r>
    </w:p>
    <w:p>
      <w:r>
        <w:t>Die IV-Stelle stützte sich für die Beurteilung der Arbeitsfähigkeit auf die Berichte ihrer RAD-Ärztin, Fachärztin für Allgemeine Innere Medizin, zertifizierte Gutachterin SIM. Diese erstattete ihre Stellungnahmen in Kenntnis der sich im IV-Dossier befindenden Berichte der behandelnden Ärzte und des RAD seit dem Jahr 2013. Im April 2014 hatte eine orthopädisch/psychiatrische RAD-Untersuchung stattgefunden, gestützt auf die da- mals ein Rentenanspruch verneint worden war. Danach wurde die Beschwerdeführerin zu keiner persönlichen Untersuchung durch den RAD mehr eingeladen und es wurde auch keine externe medizinische Beurteilung eingeholt, die nicht von einem der behan- delnden Ärzte gestammt hätte. Die RAD-Ärztin kam zum Schluss, es bestehe grundsätz- lich eine 50%ige Arbeitsfähigkeit in einer angepassten Tätigkeit auf dem freien Arbeits- markt seit dem 1. Januar 2018, unterbrochen durch eine Phase der vollen Arbeitsfähig- keit ab dem 18. August 2018 bis zum 6. Mai 2019. Sie anerkannte eine tumorassoziierte Fatigue, verneinte aber die vom behandelnden Psychiater postulierte Einschränkung der Arbeitsfähigkeit auf einen geschützten Rahmen. Dies, da sie davon ausging, dem Fach- arzt für Psychiatrie und Psychotherapie FMH sei dieser Begriff wohl nicht bekannt, da es sich bei ihm nicht um einen zertifizierten Gutachter handle. Der Arzt dürfte vielmehr da- von ausgegangen sein, dass seine Patientin ein stressarmes, verständnisvolles Umfeld benötige. Die RAD-Ärztin übersah dabei möglicherweise, dass die behandelnde Psycho- login der Psychoonkologie bereits im September 2013 festgestellt hatte, eine angemes- sene Tätigkeit könnte zur Verbesserung der psychischen Situation beitragen, in Anbe- tracht der Einschränkungen bestünden aber beträchtliche Zweifel an der Integrierbarkeit in den ersten Arbeitsmarkt.</w:t>
      </w:r>
    </w:p>
    <w:p>
      <w:r>
        <w:rPr>
          <w:b/>
        </w:rPr>
        <w:t>E. 4.2</w:t>
      </w:r>
    </w:p>
    <w:p>
      <w:r>
        <w:t>Geschützte Arbeitsplätze nehmen eine bedeutende Stellung im Bereich der Arbeits- integration ein. Sie sind für Personen geschaffen, die aufgrund einer gesundheitlichen Beeinträchtigung keine Möglichkeit der Beschäftigung auf dem ersten Arbeitsmarkt ha- ben. Dass diese klare Definition einem Facharzt für Psychiatrie, der aufgrund seines medizinischen Fachgebietes oft Menschen zu behandeln hat, die aufgrund gesundheit- licher Beeinträchtigung langfristig oder für eine Übergangsphase keine Möglichkeit mehr haben, auf dem ersten Arbeitsmarkt integriert zu werden, nicht geläufig sein könnte, ist äusserst unwahrscheinlich. Jedenfalls ist es keinesfalls gerechtfertigt, die fachärztlichen Bedenken ohne nachvollziehbare Begründung – und eine solche kann in der Schluss- folgerung der RAD-Ärztin nicht erkannt werden – ohne Nachfrage und ohne persönliche Untersuchung, zu ignorieren.</w:t>
      </w:r>
    </w:p>
    <w:p>
      <w:r>
        <w:t>- 12 -</w:t>
      </w:r>
    </w:p>
    <w:p>
      <w:r>
        <w:rPr>
          <w:b/>
        </w:rPr>
        <w:t>E. 4.3</w:t>
      </w:r>
    </w:p>
    <w:p>
      <w:r>
        <w:t>Für die Zukunft ist die IV-Stelle darauf hinzuweisen, dass gemäss bundesgerichtli- cher Rechtsprechung in der Regel auf den Mittelwert abzustellen ist, wenn ein Arztbe- richt die Arbeitsunfähigkeit in Form einer Bandbreite angibt. Dadurch werden Rechtsun- gleichheiten vermieden, welche aus der Art der Bezifferung resultieren (Bundesgerichts- urteile 9C_193/2009 vom 20. August 2009 E. 1.3.1 und I 822/04 vom 21. April 2005 E.</w:t>
      </w:r>
    </w:p>
    <w:p>
      <w:r>
        <w:rPr>
          <w:b/>
        </w:rPr>
        <w:t>E. 4.4</w:t>
      </w:r>
    </w:p>
    <w:p>
      <w:r>
        <w:t>Aufgrund des Gesagten ist festzustellen, dass die IV-Stelle der ihr obliegenden Un- tersuchungspflicht in ungenügender Weise nachgekommen ist. Die Beschwerde ist in dem Sinne gutzuheissen, als die Verfügung aufzuheben und die Sache zur Vornahme der notwendigen Abklärungen und zur Neubeurteilung an die IV-Stelle zurückzuweisen ist.</w:t>
      </w:r>
    </w:p>
    <w:p>
      <w:r>
        <w:rPr>
          <w:b/>
        </w:rPr>
        <w:t>E. 5.1</w:t>
      </w:r>
    </w:p>
    <w:p>
      <w:r>
        <w:t>Das Beschwerdeverfahren bei Streitigkeiten um die Bewilligung oder die Verweige- rung von IV-Leistungen vor dem Kantonsgericht ist kostenpflichtig (Art. 69 Abs. 1bis IVG). Aufgrund des Verfahrensaufwandes werden die Kosten zu Lasten der IV-Stelle auf CHF 500 festgesetzt.</w:t>
      </w:r>
    </w:p>
    <w:p>
      <w:r>
        <w:rPr>
          <w:b/>
        </w:rPr>
        <w:t>E. 5.2</w:t>
      </w:r>
    </w:p>
    <w:p>
      <w:r>
        <w:t>Bei diesem Ausgang des Verfahrens hat die Beschwerdeführerin einen Anspruch auf Parteientschädigung, die das Gericht unter Würdigung der Bedeutung und Schwie- rigkeit der Streitsache, des Umstandes, des Umfangs der Arbeitsleistung und in Berück- sichtigung des Verfahrens um unentgeltliche Rechtspflege sowie der durch den Recht- streit entstandenen Auslagen auf CHF 2’000 (inkl. Auslagen und Mehrwertsteuer) fest- setzt (Art. 61 lit. g ATSG; Art. 4 GTar).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